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4"/>
          <w:szCs w:val="44"/>
          <w:shd w:val="clear" w:color="auto" w:fill="FFFFFF"/>
        </w:rPr>
        <w:t>舟山市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4"/>
          <w:szCs w:val="44"/>
          <w:shd w:val="clear" w:color="auto" w:fill="FFFFFF"/>
          <w:lang w:val="en-US" w:eastAsia="zh-CN"/>
        </w:rPr>
        <w:t>军休服务管理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4"/>
          <w:szCs w:val="44"/>
          <w:shd w:val="clear" w:color="auto" w:fill="FFFFFF"/>
        </w:rPr>
        <w:t>中心招聘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4"/>
          <w:szCs w:val="44"/>
          <w:shd w:val="clear" w:color="auto" w:fill="FFFFFF"/>
          <w:lang w:val="en-US" w:eastAsia="zh-CN"/>
        </w:rPr>
        <w:t>劳务派遣人员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4"/>
          <w:szCs w:val="44"/>
          <w:shd w:val="clear" w:color="auto" w:fill="FFFFFF"/>
        </w:rPr>
        <w:t>面试成绩及入围体检人员名单</w:t>
      </w:r>
    </w:p>
    <w:p>
      <w:pPr>
        <w:ind w:firstLine="70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  <w:t>抽签号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  <w:t>排名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89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85.3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ind w:firstLine="70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81.6</w:t>
            </w:r>
            <w:bookmarkStart w:id="0" w:name="_GoBack"/>
            <w:bookmarkEnd w:id="0"/>
          </w:p>
        </w:tc>
        <w:tc>
          <w:tcPr>
            <w:tcW w:w="2131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ind w:firstLine="70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80.8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ind w:firstLine="70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75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ind w:firstLine="70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66.6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ind w:firstLine="70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firstLine="700" w:firstLineChars="200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ind w:firstLine="700" w:firstLineChars="200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15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</w:tbl>
    <w:p>
      <w:pPr>
        <w:ind w:firstLine="600" w:firstLineChars="200"/>
        <w:rPr>
          <w:rFonts w:hint="eastAsia" w:ascii="仿宋_GB2312" w:hAnsi="Times New Roman" w:eastAsia="仿宋_GB2312" w:cs="Times New Roman"/>
          <w:color w:val="000000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_GB2312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  <w:lang w:val="en-US" w:eastAsia="zh-CN"/>
        </w:rPr>
        <w:t xml:space="preserve">                        舟山市军休服务管理中心</w:t>
      </w:r>
    </w:p>
    <w:p>
      <w:pPr>
        <w:ind w:firstLine="600" w:firstLineChars="200"/>
        <w:rPr>
          <w:rFonts w:hint="default" w:ascii="仿宋_GB2312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  <w:lang w:val="en-US" w:eastAsia="zh-CN"/>
        </w:rPr>
        <w:t xml:space="preserve">                            2020年10月12日</w:t>
      </w:r>
    </w:p>
    <w:p>
      <w:pP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A51CA"/>
    <w:rsid w:val="23F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2020-10-13T01:24:00Z</dcterms:created>
  <dc:creator>Administrator</dc:creator>
  <cp:lastModifiedBy>Administrator</cp:lastModifiedBy>
  <dcterms:modified xsi:type="dcterms:W3CDTF">2020-10-13T01:25:35Z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